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8"/>
        <w:gridCol w:w="759"/>
        <w:gridCol w:w="1487"/>
        <w:gridCol w:w="23"/>
        <w:gridCol w:w="1820"/>
        <w:gridCol w:w="2971"/>
      </w:tblGrid>
      <w:tr w:rsidR="00B77CFA" w:rsidRPr="00623CB6" w14:paraId="13DEEC1E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A719E9F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B77CFA" w:rsidRPr="00623CB6" w14:paraId="16ADD2C1" w14:textId="77777777" w:rsidTr="00673D95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4F0C5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5A669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Education and Early Years</w:t>
            </w:r>
          </w:p>
        </w:tc>
      </w:tr>
      <w:tr w:rsidR="00B77CFA" w:rsidRPr="00623CB6" w14:paraId="63D380E2" w14:textId="77777777" w:rsidTr="00673D95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7AE9F7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E76E1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O1: Plan learning activities to support children’s development</w:t>
            </w:r>
          </w:p>
        </w:tc>
      </w:tr>
      <w:tr w:rsidR="00B77CFA" w:rsidRPr="00623CB6" w14:paraId="35DF3C1D" w14:textId="77777777" w:rsidTr="00673D95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0454B7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5"/>
            <w:vAlign w:val="center"/>
          </w:tcPr>
          <w:p w14:paraId="7532B88F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B77CFA" w:rsidRPr="00623CB6" w14:paraId="2CD18115" w14:textId="77777777" w:rsidTr="00673D95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1E93E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5"/>
            <w:vAlign w:val="center"/>
          </w:tcPr>
          <w:p w14:paraId="5A2DDF04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B77CFA" w:rsidRPr="00623CB6" w14:paraId="396D4057" w14:textId="77777777" w:rsidTr="00673D95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1DA4B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5"/>
            <w:vAlign w:val="center"/>
          </w:tcPr>
          <w:p w14:paraId="6B305D04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B77CFA" w:rsidRPr="00623CB6" w14:paraId="229A55E8" w14:textId="77777777" w:rsidTr="00751975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2F4A1403" w14:textId="0BC3F6B7" w:rsidR="00B77CFA" w:rsidRPr="00F64357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BF27FC"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47EE78BA" w14:textId="61998902" w:rsidR="00B77CFA" w:rsidRPr="00F64357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BF27FC"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F6435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B77CFA" w:rsidRPr="00623CB6" w14:paraId="11F0CEC2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5DE730F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1: Child development</w:t>
            </w:r>
          </w:p>
        </w:tc>
      </w:tr>
      <w:tr w:rsidR="00B77CFA" w:rsidRPr="00623CB6" w14:paraId="30581D99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5E38A6D1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623CB6">
              <w:rPr>
                <w:rFonts w:ascii="Lato" w:hAnsi="Lato"/>
                <w:sz w:val="20"/>
                <w:szCs w:val="20"/>
              </w:rPr>
              <w:t>Primary areas of development from birth to 7 years: definitions and characteristics, expected patterns and key milestones for physical, communication and cognitive development</w:t>
            </w:r>
          </w:p>
        </w:tc>
        <w:tc>
          <w:tcPr>
            <w:tcW w:w="2488" w:type="pct"/>
            <w:gridSpan w:val="2"/>
            <w:vAlign w:val="center"/>
          </w:tcPr>
          <w:p w14:paraId="3E647E90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200F6B55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3F7454C4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623CB6">
              <w:rPr>
                <w:rFonts w:ascii="Lato" w:hAnsi="Lato"/>
                <w:sz w:val="20"/>
                <w:szCs w:val="20"/>
              </w:rPr>
              <w:t>Factors which may impact on the primary areas of development</w:t>
            </w:r>
          </w:p>
        </w:tc>
        <w:tc>
          <w:tcPr>
            <w:tcW w:w="2488" w:type="pct"/>
            <w:gridSpan w:val="2"/>
            <w:vAlign w:val="center"/>
          </w:tcPr>
          <w:p w14:paraId="6CE4C967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1E991625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A95598C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2: Learning activities</w:t>
            </w:r>
          </w:p>
        </w:tc>
      </w:tr>
      <w:tr w:rsidR="00B77CFA" w:rsidRPr="00623CB6" w14:paraId="7D7A1F2C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71F34B73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Learning activities to support primary areas of development: types, characteristics, components, purpose, suitability to meet development needs, suitability for different age groups, suitability to engage, enable, motivate and challenge</w:t>
            </w:r>
          </w:p>
        </w:tc>
        <w:tc>
          <w:tcPr>
            <w:tcW w:w="2488" w:type="pct"/>
            <w:gridSpan w:val="2"/>
            <w:vAlign w:val="center"/>
          </w:tcPr>
          <w:p w14:paraId="1DA27BF5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6C866227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510ACB87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Concept of learning goals and different ways these are expressed</w:t>
            </w:r>
          </w:p>
        </w:tc>
        <w:tc>
          <w:tcPr>
            <w:tcW w:w="2488" w:type="pct"/>
            <w:gridSpan w:val="2"/>
            <w:vAlign w:val="center"/>
          </w:tcPr>
          <w:p w14:paraId="262ECD4A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79C80FAD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7A705CF0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Factors to consider when planning learning activities</w:t>
            </w:r>
          </w:p>
        </w:tc>
        <w:tc>
          <w:tcPr>
            <w:tcW w:w="2488" w:type="pct"/>
            <w:gridSpan w:val="2"/>
            <w:vAlign w:val="center"/>
          </w:tcPr>
          <w:p w14:paraId="43AA5D3F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416805D1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B0E5F3B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3: Resources for learning activities</w:t>
            </w:r>
          </w:p>
        </w:tc>
      </w:tr>
      <w:tr w:rsidR="00B77CFA" w:rsidRPr="00623CB6" w14:paraId="66ECB340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4EB40348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Environments: types, characteristics and suitability for planned activities</w:t>
            </w:r>
          </w:p>
        </w:tc>
        <w:tc>
          <w:tcPr>
            <w:tcW w:w="2488" w:type="pct"/>
            <w:gridSpan w:val="2"/>
            <w:vAlign w:val="center"/>
          </w:tcPr>
          <w:p w14:paraId="6AEED19F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1395A352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21A58D12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K7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Equipment: types, purpose and suitability for planned activities</w:t>
            </w:r>
          </w:p>
        </w:tc>
        <w:tc>
          <w:tcPr>
            <w:tcW w:w="2488" w:type="pct"/>
            <w:gridSpan w:val="2"/>
            <w:vAlign w:val="center"/>
          </w:tcPr>
          <w:p w14:paraId="6721B7D0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2E38342D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6EA744D2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K8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Materials: purpose, quantities required and applications</w:t>
            </w:r>
          </w:p>
        </w:tc>
        <w:tc>
          <w:tcPr>
            <w:tcW w:w="2488" w:type="pct"/>
            <w:gridSpan w:val="2"/>
            <w:vAlign w:val="center"/>
          </w:tcPr>
          <w:p w14:paraId="220829CC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66555A7B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3D367D9C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K9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Staffing needed for different learning activities</w:t>
            </w:r>
          </w:p>
        </w:tc>
        <w:tc>
          <w:tcPr>
            <w:tcW w:w="2488" w:type="pct"/>
            <w:gridSpan w:val="2"/>
            <w:vAlign w:val="center"/>
          </w:tcPr>
          <w:p w14:paraId="6E7DACA6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043724D1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737D1C63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K10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Space needed for different learning activities</w:t>
            </w:r>
          </w:p>
        </w:tc>
        <w:tc>
          <w:tcPr>
            <w:tcW w:w="2488" w:type="pct"/>
            <w:gridSpan w:val="2"/>
            <w:vAlign w:val="center"/>
          </w:tcPr>
          <w:p w14:paraId="21B6FDE6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6671D6A9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28C2B9C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4: Information and data</w:t>
            </w:r>
          </w:p>
        </w:tc>
      </w:tr>
      <w:tr w:rsidR="00B77CFA" w:rsidRPr="00623CB6" w14:paraId="35F9EB74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38450D2D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623CB6">
              <w:rPr>
                <w:rFonts w:ascii="Lato" w:hAnsi="Lato"/>
                <w:sz w:val="20"/>
                <w:szCs w:val="20"/>
              </w:rPr>
              <w:t>Sources of data and information used to plan learning activities: purpose, typical content, typical format and terminology</w:t>
            </w:r>
          </w:p>
        </w:tc>
        <w:tc>
          <w:tcPr>
            <w:tcW w:w="2488" w:type="pct"/>
            <w:gridSpan w:val="2"/>
            <w:vAlign w:val="center"/>
          </w:tcPr>
          <w:p w14:paraId="4C1753E2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4DA6302B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4FCA9FA0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K12 </w:t>
            </w:r>
            <w:r w:rsidRPr="00623CB6">
              <w:rPr>
                <w:rFonts w:ascii="Lato" w:hAnsi="Lato"/>
                <w:sz w:val="20"/>
                <w:szCs w:val="20"/>
              </w:rPr>
              <w:t>Factors to consider when using information and data: confidentiality, privacy, intellectual property and security</w:t>
            </w:r>
          </w:p>
        </w:tc>
        <w:tc>
          <w:tcPr>
            <w:tcW w:w="2488" w:type="pct"/>
            <w:gridSpan w:val="2"/>
            <w:vAlign w:val="center"/>
          </w:tcPr>
          <w:p w14:paraId="2B5A98D7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48EBFB7E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B92C712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5: Investigation</w:t>
            </w:r>
          </w:p>
        </w:tc>
      </w:tr>
      <w:tr w:rsidR="00B77CFA" w:rsidRPr="00623CB6" w14:paraId="37F4A41F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201BF7A7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K13 </w:t>
            </w:r>
            <w:r w:rsidRPr="00623CB6">
              <w:rPr>
                <w:rFonts w:ascii="Lato" w:hAnsi="Lato"/>
                <w:sz w:val="20"/>
                <w:szCs w:val="20"/>
              </w:rPr>
              <w:t>Validity of information and data: accuracy, reliability, currency and bias</w:t>
            </w:r>
          </w:p>
        </w:tc>
        <w:tc>
          <w:tcPr>
            <w:tcW w:w="2488" w:type="pct"/>
            <w:gridSpan w:val="2"/>
            <w:vAlign w:val="center"/>
          </w:tcPr>
          <w:p w14:paraId="6BF88434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0EFD57F8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3F48FC06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623CB6">
              <w:rPr>
                <w:rFonts w:ascii="Lato" w:hAnsi="Lato"/>
                <w:sz w:val="20"/>
                <w:szCs w:val="20"/>
              </w:rPr>
              <w:t>Referencing of sources: techniques used to reference sources directly, paraphrasing and different types of sources</w:t>
            </w:r>
          </w:p>
        </w:tc>
        <w:tc>
          <w:tcPr>
            <w:tcW w:w="2488" w:type="pct"/>
            <w:gridSpan w:val="2"/>
            <w:vAlign w:val="center"/>
          </w:tcPr>
          <w:p w14:paraId="6DF945F2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186C1F26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8246CBC" w14:textId="77777777" w:rsidR="00B77CFA" w:rsidRPr="00623CB6" w:rsidRDefault="00B77CFA" w:rsidP="00623CB6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6: Communication</w:t>
            </w:r>
          </w:p>
        </w:tc>
      </w:tr>
      <w:tr w:rsidR="00B77CFA" w:rsidRPr="00623CB6" w14:paraId="06988F98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06F3A6C9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 xml:space="preserve">K15 </w:t>
            </w:r>
            <w:r w:rsidRPr="00623CB6">
              <w:rPr>
                <w:rFonts w:ascii="Lato" w:hAnsi="Lato"/>
                <w:sz w:val="20"/>
                <w:szCs w:val="20"/>
              </w:rPr>
              <w:t>Principles of effective communication: two-way process (send and receive messages), methods (verbal, non-verbal), styles (formal, informal), conventions of different types of written communication and suitability for different purposes and audiences</w:t>
            </w:r>
          </w:p>
        </w:tc>
        <w:tc>
          <w:tcPr>
            <w:tcW w:w="2488" w:type="pct"/>
            <w:gridSpan w:val="2"/>
            <w:vAlign w:val="center"/>
          </w:tcPr>
          <w:p w14:paraId="4C52266A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3D766588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25C980F4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K16 </w:t>
            </w:r>
            <w:r w:rsidRPr="00623CB6">
              <w:rPr>
                <w:rFonts w:ascii="Lato" w:hAnsi="La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3E64D619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350A65C1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0221F431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K17 </w:t>
            </w:r>
            <w:r w:rsidRPr="00623CB6">
              <w:rPr>
                <w:rFonts w:ascii="Lato" w:hAnsi="Lato"/>
                <w:sz w:val="20"/>
                <w:szCs w:val="20"/>
              </w:rPr>
              <w:t>Spelling, punctuation, and grammar (SPAG): punctuation markers, grammatical conventions and spelling of key technical and non-technical terminology</w:t>
            </w:r>
          </w:p>
        </w:tc>
        <w:tc>
          <w:tcPr>
            <w:tcW w:w="2488" w:type="pct"/>
            <w:gridSpan w:val="2"/>
            <w:vAlign w:val="center"/>
          </w:tcPr>
          <w:p w14:paraId="6BA1B0D9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557F2C8A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AEE5D53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7: Numeracy</w:t>
            </w:r>
          </w:p>
        </w:tc>
      </w:tr>
      <w:tr w:rsidR="00B77CFA" w:rsidRPr="00623CB6" w14:paraId="3C7FDFB4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0ADC9FD9" w14:textId="77777777" w:rsidR="00B77CFA" w:rsidRPr="00623CB6" w:rsidRDefault="00B77CFA" w:rsidP="00623CB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K18 </w:t>
            </w:r>
            <w:r w:rsidRPr="00623CB6">
              <w:rPr>
                <w:rFonts w:ascii="Lato" w:hAnsi="Lato"/>
                <w:sz w:val="20"/>
                <w:szCs w:val="20"/>
              </w:rPr>
              <w:t>Standard units of measurement: area, weight, volume and time</w:t>
            </w:r>
          </w:p>
        </w:tc>
        <w:tc>
          <w:tcPr>
            <w:tcW w:w="2488" w:type="pct"/>
            <w:gridSpan w:val="2"/>
            <w:vAlign w:val="center"/>
          </w:tcPr>
          <w:p w14:paraId="4CED0905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7D4437B7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10B5E2E5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K19 </w:t>
            </w:r>
            <w:r w:rsidRPr="00623CB6">
              <w:rPr>
                <w:rFonts w:ascii="Lato" w:hAnsi="Lato"/>
                <w:sz w:val="20"/>
                <w:szCs w:val="20"/>
              </w:rPr>
              <w:t>Numbers and the number system: techniques for application of the four operations (addition, multiplication, division, subtraction), working with whole numbers, fractions, decimals and percentages</w:t>
            </w:r>
          </w:p>
        </w:tc>
        <w:tc>
          <w:tcPr>
            <w:tcW w:w="2488" w:type="pct"/>
            <w:gridSpan w:val="2"/>
            <w:vAlign w:val="center"/>
          </w:tcPr>
          <w:p w14:paraId="2CCE3140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41A5A8AF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3D1A7505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K20 </w:t>
            </w:r>
            <w:r w:rsidRPr="00623CB6">
              <w:rPr>
                <w:rFonts w:ascii="Lato" w:hAnsi="Lato"/>
                <w:sz w:val="20"/>
                <w:szCs w:val="20"/>
              </w:rPr>
              <w:t>Techniques for checking calculations: estimation and approximation</w:t>
            </w:r>
          </w:p>
        </w:tc>
        <w:tc>
          <w:tcPr>
            <w:tcW w:w="2488" w:type="pct"/>
            <w:gridSpan w:val="2"/>
            <w:vAlign w:val="center"/>
          </w:tcPr>
          <w:p w14:paraId="3B081F4D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189FD2BC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0B452801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K21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Measurement: principles, standards, terminology, linear and area and volume quantities</w:t>
            </w:r>
          </w:p>
        </w:tc>
        <w:tc>
          <w:tcPr>
            <w:tcW w:w="2488" w:type="pct"/>
            <w:gridSpan w:val="2"/>
            <w:vAlign w:val="center"/>
          </w:tcPr>
          <w:p w14:paraId="771C6D73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0D978C1A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66436CF" w14:textId="77777777" w:rsidR="00B77CFA" w:rsidRPr="00623CB6" w:rsidRDefault="00B77CFA" w:rsidP="00623CB6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8: Digital</w:t>
            </w:r>
          </w:p>
        </w:tc>
      </w:tr>
      <w:tr w:rsidR="00B77CFA" w:rsidRPr="00623CB6" w14:paraId="11FB758E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09E68050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K22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Software: feature, functions and applications for creating and formatting documents</w:t>
            </w:r>
          </w:p>
        </w:tc>
        <w:tc>
          <w:tcPr>
            <w:tcW w:w="2488" w:type="pct"/>
            <w:gridSpan w:val="2"/>
            <w:vAlign w:val="center"/>
          </w:tcPr>
          <w:p w14:paraId="6AD53FBF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14F9A729" w14:textId="77777777" w:rsidTr="00673D95">
        <w:trPr>
          <w:trHeight w:val="284"/>
        </w:trPr>
        <w:tc>
          <w:tcPr>
            <w:tcW w:w="2512" w:type="pct"/>
            <w:gridSpan w:val="4"/>
            <w:vAlign w:val="center"/>
          </w:tcPr>
          <w:p w14:paraId="76D9831A" w14:textId="77777777" w:rsidR="00B77CFA" w:rsidRPr="00623CB6" w:rsidRDefault="00B77CFA" w:rsidP="00623CB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K23</w:t>
            </w:r>
            <w:r w:rsidRPr="00623CB6">
              <w:rPr>
                <w:rFonts w:ascii="Lato" w:hAnsi="Lato"/>
                <w:sz w:val="20"/>
                <w:szCs w:val="20"/>
              </w:rPr>
              <w:t xml:space="preserve"> Management of digital information and data: classification and organisation, and naming conventions, storage systems, protection methods, accessibility and formats </w:t>
            </w:r>
          </w:p>
        </w:tc>
        <w:tc>
          <w:tcPr>
            <w:tcW w:w="2488" w:type="pct"/>
            <w:gridSpan w:val="2"/>
            <w:vAlign w:val="center"/>
          </w:tcPr>
          <w:p w14:paraId="11877755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21DC1C73" w14:textId="77777777" w:rsidTr="00673D95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88E9AF9" w14:textId="73CAFAAE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BF27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BF27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623CB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B77CFA" w:rsidRPr="00623CB6" w14:paraId="61CBB453" w14:textId="77777777" w:rsidTr="00BF27FC">
        <w:trPr>
          <w:trHeight w:val="3742"/>
        </w:trPr>
        <w:tc>
          <w:tcPr>
            <w:tcW w:w="5000" w:type="pct"/>
            <w:gridSpan w:val="6"/>
          </w:tcPr>
          <w:p w14:paraId="143C2107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77CFA" w:rsidRPr="00623CB6" w14:paraId="0AF50BFB" w14:textId="77777777" w:rsidTr="00673D95">
        <w:trPr>
          <w:trHeight w:val="284"/>
        </w:trPr>
        <w:tc>
          <w:tcPr>
            <w:tcW w:w="1728" w:type="pct"/>
            <w:gridSpan w:val="2"/>
            <w:vAlign w:val="center"/>
          </w:tcPr>
          <w:p w14:paraId="5ED1C97D" w14:textId="7690E46D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BF27FC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312BAB7C" w14:textId="77876DE6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BF27FC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735E7D2D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B77CFA" w:rsidRPr="00623CB6" w14:paraId="219FCBF8" w14:textId="77777777" w:rsidTr="00673D95">
        <w:trPr>
          <w:trHeight w:val="284"/>
        </w:trPr>
        <w:tc>
          <w:tcPr>
            <w:tcW w:w="1728" w:type="pct"/>
            <w:gridSpan w:val="2"/>
            <w:vAlign w:val="center"/>
          </w:tcPr>
          <w:p w14:paraId="75D94D8F" w14:textId="7B8F9EDB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BF27FC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C815BB0" w14:textId="4E83A11E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BF27FC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79A748C6" w14:textId="77777777" w:rsidR="00B77CFA" w:rsidRPr="00623CB6" w:rsidRDefault="00B77CFA" w:rsidP="00623CB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623CB6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80E3D8" w14:textId="77777777" w:rsidR="00E5581D" w:rsidRDefault="00E5581D" w:rsidP="00186EC4">
      <w:r>
        <w:separator/>
      </w:r>
    </w:p>
  </w:endnote>
  <w:endnote w:type="continuationSeparator" w:id="0">
    <w:p w14:paraId="22519EDD" w14:textId="77777777" w:rsidR="00E5581D" w:rsidRDefault="00E5581D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C493E2BC-5317-4385-AC01-A119AAFF511B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15FD19AF-42C8-47E5-BBD8-35536690CE9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ED7A97C-9670-49F9-A515-8B9DD3FCB220}"/>
    <w:embedBold r:id="rId4" w:fontKey="{2B0AAC12-8FE3-41C9-BAD9-8839C7C041B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B317A65-97F8-4395-8D47-3AC5AD784DC9}"/>
    <w:embedBold r:id="rId6" w:fontKey="{03BE9549-5DEA-4CBE-9252-E108DDAC4807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7A277B0D-2453-4378-A57F-E0A21FB62EE4}"/>
    <w:embedBold r:id="rId8" w:fontKey="{9336E18A-9D88-45BC-9E8F-BBAA078D4EB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167A43A-E61D-4426-B0E6-15D13B76A225}"/>
    <w:embedBold r:id="rId10" w:fontKey="{1951F9A7-8161-451D-B47C-C47A98A4E633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5C897D7D-332B-4B95-9D06-93147ED172D1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4A5CCC4C-B39F-425D-88E9-E7D6140D2B0D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FE6D9AA5-C9B4-4026-8D7A-8774057546D2}"/>
    <w:embedBold r:id="rId14" w:fontKey="{F21076CC-461C-469D-8133-C401DB717835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849FEA2D-0E7A-454B-94A6-56319BD6A6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664E133F-7D70-4D60-B2CA-D339E67BB4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5194924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BA07650" w14:textId="4E180A12" w:rsidR="00623CB6" w:rsidRDefault="000B1F42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2E9C2D06" wp14:editId="402789E1">
              <wp:simplePos x="0" y="0"/>
              <wp:positionH relativeFrom="column">
                <wp:posOffset>-723900</wp:posOffset>
              </wp:positionH>
              <wp:positionV relativeFrom="paragraph">
                <wp:posOffset>208915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623CB6" w:rsidRPr="00623CB6">
          <w:rPr>
            <w:rFonts w:ascii="Lato" w:hAnsi="Lato"/>
            <w:sz w:val="20"/>
            <w:szCs w:val="20"/>
          </w:rPr>
          <w:fldChar w:fldCharType="begin"/>
        </w:r>
        <w:r w:rsidR="00623CB6" w:rsidRPr="00623CB6">
          <w:rPr>
            <w:rFonts w:ascii="Lato" w:hAnsi="Lato"/>
            <w:sz w:val="20"/>
            <w:szCs w:val="20"/>
          </w:rPr>
          <w:instrText xml:space="preserve"> PAGE   \* MERGEFORMAT </w:instrText>
        </w:r>
        <w:r w:rsidR="00623CB6" w:rsidRPr="00623CB6">
          <w:rPr>
            <w:rFonts w:ascii="Lato" w:hAnsi="Lato"/>
            <w:sz w:val="20"/>
            <w:szCs w:val="20"/>
          </w:rPr>
          <w:fldChar w:fldCharType="separate"/>
        </w:r>
        <w:r w:rsidR="00623CB6" w:rsidRPr="00623CB6">
          <w:rPr>
            <w:rFonts w:ascii="Lato" w:hAnsi="Lato"/>
            <w:noProof/>
            <w:sz w:val="20"/>
            <w:szCs w:val="20"/>
          </w:rPr>
          <w:t>2</w:t>
        </w:r>
        <w:r w:rsidR="00623CB6" w:rsidRPr="00623CB6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44AA2346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784723" w14:textId="77777777" w:rsidR="00E5581D" w:rsidRDefault="00E5581D" w:rsidP="00186EC4">
      <w:r>
        <w:separator/>
      </w:r>
    </w:p>
  </w:footnote>
  <w:footnote w:type="continuationSeparator" w:id="0">
    <w:p w14:paraId="62987656" w14:textId="77777777" w:rsidR="00E5581D" w:rsidRDefault="00E5581D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55D4F3D1" w:rsidR="00606234" w:rsidRPr="00623CB6" w:rsidRDefault="00623CB6" w:rsidP="00186EC4">
    <w:pPr>
      <w:pStyle w:val="Header"/>
      <w:rPr>
        <w:rFonts w:ascii="Lato" w:hAnsi="Lato"/>
        <w:b/>
        <w:bCs/>
        <w:sz w:val="20"/>
        <w:szCs w:val="20"/>
      </w:rPr>
    </w:pPr>
    <w:r w:rsidRPr="00243FD5">
      <w:rPr>
        <w:rFonts w:ascii="Lato" w:hAnsi="Lato"/>
        <w:b/>
        <w:bCs/>
        <w:sz w:val="20"/>
        <w:szCs w:val="20"/>
      </w:rPr>
      <w:t>T Level Foundation Course in Education and Early Years</w:t>
    </w:r>
    <w:r w:rsidR="00D96E82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B1F42"/>
    <w:rsid w:val="000C4BBF"/>
    <w:rsid w:val="000C5DAC"/>
    <w:rsid w:val="000C7A85"/>
    <w:rsid w:val="0010643B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23CB6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51975"/>
    <w:rsid w:val="00761E25"/>
    <w:rsid w:val="00780EF9"/>
    <w:rsid w:val="007836D4"/>
    <w:rsid w:val="007957FA"/>
    <w:rsid w:val="007D1618"/>
    <w:rsid w:val="007F783B"/>
    <w:rsid w:val="0081323D"/>
    <w:rsid w:val="00845747"/>
    <w:rsid w:val="00846A48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003CC"/>
    <w:rsid w:val="00B235BA"/>
    <w:rsid w:val="00B36933"/>
    <w:rsid w:val="00B43FC6"/>
    <w:rsid w:val="00B448D1"/>
    <w:rsid w:val="00B651CD"/>
    <w:rsid w:val="00B767C3"/>
    <w:rsid w:val="00B77CFA"/>
    <w:rsid w:val="00B86BC6"/>
    <w:rsid w:val="00B92915"/>
    <w:rsid w:val="00BA455F"/>
    <w:rsid w:val="00BB6F12"/>
    <w:rsid w:val="00BD0C21"/>
    <w:rsid w:val="00BE4E9A"/>
    <w:rsid w:val="00BF1E30"/>
    <w:rsid w:val="00BF27FC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5581D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64357"/>
    <w:rsid w:val="00F87464"/>
    <w:rsid w:val="00F965D4"/>
    <w:rsid w:val="00FA17B3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B77CFA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B77CFA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be2b0b65-5089-4106-bb34-2edddfc01d42"/>
    <ds:schemaRef ds:uri="http://purl.org/dc/dcmitype/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89637aa1-7b48-4060-803a-c34c58bc8bfc"/>
    <ds:schemaRef ds:uri="http://schemas.microsoft.com/office/infopath/2007/PartnerControl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12</TotalTime>
  <Pages>2</Pages>
  <Words>424</Words>
  <Characters>2810</Characters>
  <Application>Microsoft Office Word</Application>
  <DocSecurity>0</DocSecurity>
  <Lines>115</Lines>
  <Paragraphs>48</Paragraphs>
  <ScaleCrop>false</ScaleCrop>
  <Company/>
  <LinksUpToDate>false</LinksUpToDate>
  <CharactersWithSpaces>3188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2025-10-08T16:09:00Z</dcterms:created>
  <dcterms:modified xsi:type="dcterms:W3CDTF">2025-10-22T09:51:00Z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445db70e-12de-41bc-9e4a-9f18090bb87e</vt:lpwstr>
  </property>
</Properties>
</file>